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 xml:space="preserve"> ТЕХНОЛОГИЧЕСКАЯ СХЕМА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  <w:r w:rsidR="00782C74">
        <w:rPr>
          <w:rFonts w:ascii="Times New Roman" w:eastAsia="Calibri" w:hAnsi="Times New Roman"/>
          <w:b/>
          <w:lang w:eastAsia="en-US"/>
        </w:rPr>
        <w:t xml:space="preserve"> «</w:t>
      </w:r>
      <w:r w:rsidR="00782C74" w:rsidRPr="00782C74">
        <w:rPr>
          <w:rFonts w:ascii="Times New Roman" w:hAnsi="Times New Roman"/>
          <w:b/>
          <w:sz w:val="28"/>
          <w:szCs w:val="28"/>
        </w:rPr>
        <w:t>Предоставление в аренду и безвозмездное пользование муниципал</w:t>
      </w:r>
      <w:r w:rsidR="00782C74" w:rsidRPr="00782C74">
        <w:rPr>
          <w:rFonts w:ascii="Times New Roman" w:hAnsi="Times New Roman"/>
          <w:b/>
          <w:sz w:val="28"/>
          <w:szCs w:val="28"/>
        </w:rPr>
        <w:t>ь</w:t>
      </w:r>
      <w:r w:rsidR="00782C74" w:rsidRPr="00782C74">
        <w:rPr>
          <w:rFonts w:ascii="Times New Roman" w:hAnsi="Times New Roman"/>
          <w:b/>
          <w:sz w:val="28"/>
          <w:szCs w:val="28"/>
        </w:rPr>
        <w:t>ного имущества»</w:t>
      </w: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E47305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Администрация </w:t>
            </w:r>
            <w:r w:rsidR="00E47305">
              <w:rPr>
                <w:rFonts w:ascii="Times New Roman" w:hAnsi="Times New Roman"/>
              </w:rPr>
              <w:t xml:space="preserve">Высокинского сельского поселения Лискинского </w:t>
            </w:r>
            <w:r w:rsidRPr="00983E0C">
              <w:rPr>
                <w:rFonts w:ascii="Times New Roman" w:hAnsi="Times New Roman"/>
              </w:rPr>
              <w:t xml:space="preserve">муниципального </w:t>
            </w:r>
            <w:r w:rsidR="00E47305">
              <w:rPr>
                <w:rFonts w:ascii="Times New Roman" w:hAnsi="Times New Roman"/>
              </w:rPr>
              <w:t>района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520424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3640100010000837353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E47305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№ 106 от 21.06</w:t>
            </w:r>
            <w:r w:rsidR="00520424">
              <w:rPr>
                <w:rFonts w:ascii="Times New Roman" w:hAnsi="Times New Roman"/>
              </w:rPr>
              <w:t>.2016г.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радиотелефонная связь;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МФЦ;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>- отсутствуют 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нования для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доставления 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5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7B4001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</w:t>
            </w:r>
            <w:r w:rsidRPr="00983E0C">
              <w:rPr>
                <w:rFonts w:ascii="Times New Roman" w:eastAsia="Calibri" w:hAnsi="Times New Roman"/>
                <w:lang w:eastAsia="en-US"/>
              </w:rPr>
              <w:t>х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ражного суда о признании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9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lastRenderedPageBreak/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мент/документы, являющиеся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</w:t>
            </w:r>
            <w:r w:rsidR="00FC3C26" w:rsidRPr="00983E0C">
              <w:rPr>
                <w:rFonts w:ascii="Times New Roman" w:hAnsi="Times New Roman"/>
                <w:b/>
              </w:rPr>
              <w:t>н</w:t>
            </w:r>
            <w:r w:rsidR="00FC3C26" w:rsidRPr="00983E0C">
              <w:rPr>
                <w:rFonts w:ascii="Times New Roman" w:hAnsi="Times New Roman"/>
                <w:b/>
              </w:rPr>
              <w:t>та/документов, являющих</w:t>
            </w:r>
            <w:r w:rsidRPr="00983E0C">
              <w:rPr>
                <w:rFonts w:ascii="Times New Roman" w:hAnsi="Times New Roman"/>
                <w:b/>
              </w:rPr>
              <w:t>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11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12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</w:t>
            </w:r>
            <w:r w:rsidRPr="00983E0C">
              <w:rPr>
                <w:rFonts w:ascii="Times New Roman" w:hAnsi="Times New Roman"/>
              </w:rPr>
              <w:lastRenderedPageBreak/>
              <w:t>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Припредоставление муниципал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ного имущества на торгах к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лению (заявке) прилагается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писанная претендентом опись (в двух экземплярах) представле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им документов, один экзе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пляр которой выдается прете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дуслуги» и иных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кументов,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bookmarkStart w:id="2" w:name="_GoBack"/>
            <w:bookmarkEnd w:id="2"/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3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25B" w:rsidRDefault="0000225B" w:rsidP="00F847AF">
      <w:pPr>
        <w:spacing w:after="0" w:line="240" w:lineRule="auto"/>
      </w:pPr>
      <w:r>
        <w:separator/>
      </w:r>
    </w:p>
  </w:endnote>
  <w:endnote w:type="continuationSeparator" w:id="1">
    <w:p w:rsidR="0000225B" w:rsidRDefault="0000225B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25B" w:rsidRDefault="0000225B" w:rsidP="00F847AF">
      <w:pPr>
        <w:spacing w:after="0" w:line="240" w:lineRule="auto"/>
      </w:pPr>
      <w:r>
        <w:separator/>
      </w:r>
    </w:p>
  </w:footnote>
  <w:footnote w:type="continuationSeparator" w:id="1">
    <w:p w:rsidR="0000225B" w:rsidRDefault="0000225B" w:rsidP="00F847AF">
      <w:pPr>
        <w:spacing w:after="0" w:line="240" w:lineRule="auto"/>
      </w:pPr>
      <w:r>
        <w:continuationSeparator/>
      </w:r>
    </w:p>
  </w:footnote>
  <w:footnote w:id="2">
    <w:p w:rsidR="00CE2C1C" w:rsidRDefault="00CE2C1C" w:rsidP="00F37DD8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CE2C1C" w:rsidRDefault="00CE2C1C" w:rsidP="00F37DD8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CE2C1C" w:rsidRDefault="00CE2C1C" w:rsidP="00F37DD8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подуслугам не различаются</w:t>
      </w:r>
    </w:p>
  </w:footnote>
  <w:footnote w:id="6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7">
    <w:p w:rsidR="00CE2C1C" w:rsidRPr="005257FF" w:rsidRDefault="00CE2C1C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8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подуслугам не различаются</w:t>
      </w:r>
    </w:p>
  </w:footnote>
  <w:footnote w:id="10">
    <w:p w:rsidR="00CE2C1C" w:rsidRDefault="00CE2C1C">
      <w:pPr>
        <w:pStyle w:val="af"/>
      </w:pPr>
      <w:r>
        <w:rPr>
          <w:rStyle w:val="af1"/>
        </w:rPr>
        <w:footnoteRef/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11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«подуслугам» не различаются.</w:t>
      </w:r>
    </w:p>
  </w:footnote>
  <w:footnote w:id="12">
    <w:p w:rsidR="00CE2C1C" w:rsidRDefault="00CE2C1C">
      <w:pPr>
        <w:pStyle w:val="af"/>
      </w:pPr>
      <w:r>
        <w:rPr>
          <w:rStyle w:val="af1"/>
        </w:rPr>
        <w:footnoteRef/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3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0225B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0436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042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2C74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744C4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47305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A7B00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107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46AE-EF41-4F53-8DD6-67D159D1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36</Pages>
  <Words>6435</Words>
  <Characters>36682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10</cp:revision>
  <dcterms:created xsi:type="dcterms:W3CDTF">2016-11-07T11:29:00Z</dcterms:created>
  <dcterms:modified xsi:type="dcterms:W3CDTF">2017-11-01T12:46:00Z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