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50" w:before="0"/>
        <w:ind w:firstLine="220" w:left="0"/>
        <w:jc w:val="center"/>
        <w:rPr>
          <w:rStyle w:val="Style_2_ch"/>
          <w:color w:val="000000"/>
          <w:sz w:val="28"/>
        </w:rPr>
      </w:pPr>
      <w:bookmarkStart w:id="1" w:name="_Hlk57879705"/>
      <w:r>
        <w:rPr>
          <w:rStyle w:val="Style_2_ch"/>
          <w:color w:val="000000"/>
          <w:sz w:val="28"/>
        </w:rPr>
        <w:t>Возмещение ущерба, причинённого в результате ненадлежащего состояния автомобильных дорог</w:t>
      </w:r>
    </w:p>
    <w:p w14:paraId="02000000">
      <w:pPr>
        <w:pStyle w:val="Style_1"/>
        <w:spacing w:after="50" w:before="0"/>
        <w:ind w:firstLine="220" w:left="0"/>
        <w:jc w:val="center"/>
        <w:rPr>
          <w:color w:val="000000"/>
          <w:sz w:val="28"/>
        </w:rPr>
      </w:pPr>
    </w:p>
    <w:p w14:paraId="03000000">
      <w:pPr>
        <w:pStyle w:val="Style_1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относится к вопросам местного значения. Таким образом, вопрос состояния автодорог находится в ведении администрации муниципального образования. Содержание автомобильных дорог - это совокупность мероприятий по поддержанию в соответствующем состоянии автодорог, а также по организации и обеспечению безопасности дорожного движения. Содержание автомобильных дорог должно осуществляться в соответствии с требованиями действующих технических регламентов.</w:t>
      </w:r>
    </w:p>
    <w:p w14:paraId="04000000">
      <w:pPr>
        <w:pStyle w:val="Style_1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Ответственность за вред, причиненный пострадавшему, явившийся результатом ненадлежащего исполнения возложенной законом на органы самоуправления обязанности по содержанию автомобильных дорог местного значения несёт администрация соответствующего муниципального образования.</w:t>
      </w:r>
    </w:p>
    <w:p w14:paraId="05000000">
      <w:pPr>
        <w:pStyle w:val="Style_1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Ответственным лицом за ненадлежащее состояние дороги может быть и организа-ция, осуществляющая на основании заключенного договора техническое обеспечение соответствующего участка дороги. Такая организация по ходатайству администрации муниципального образования может быть привлечена к участию в судебном разбирательстве в качестве соответчика.</w:t>
      </w:r>
    </w:p>
    <w:p w14:paraId="06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07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08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Старший п</w:t>
      </w:r>
      <w:r>
        <w:rPr>
          <w:color w:val="000000"/>
          <w:sz w:val="28"/>
        </w:rPr>
        <w:t xml:space="preserve">омощник межрайонного прокурора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С.И. Рудаков</w:t>
      </w:r>
    </w:p>
    <w:p w14:paraId="09000000">
      <w:pPr>
        <w:pStyle w:val="Style_1"/>
        <w:spacing w:after="0" w:before="0"/>
        <w:ind/>
        <w:jc w:val="both"/>
        <w:rPr>
          <w:color w:val="000000"/>
          <w:sz w:val="28"/>
        </w:rPr>
      </w:pPr>
      <w:bookmarkEnd w:id="1"/>
    </w:p>
    <w:p w14:paraId="0A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0B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0C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0D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0E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0F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0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1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2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3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4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5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6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7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8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9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A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B000000">
      <w:pPr>
        <w:pStyle w:val="Style_1"/>
        <w:spacing w:after="0" w:before="0"/>
        <w:ind/>
        <w:jc w:val="both"/>
        <w:rPr>
          <w:color w:val="000000"/>
          <w:sz w:val="28"/>
        </w:rPr>
      </w:pPr>
    </w:p>
    <w:p w14:paraId="1C000000">
      <w:pPr>
        <w:pStyle w:val="Style_1"/>
        <w:spacing w:after="0" w:before="0"/>
        <w:ind w:firstLine="709" w:left="0"/>
        <w:jc w:val="center"/>
        <w:rPr>
          <w:rStyle w:val="Style_2_ch"/>
          <w:color w:val="000000"/>
          <w:sz w:val="28"/>
        </w:rPr>
      </w:pPr>
      <w:bookmarkStart w:id="2" w:name="_Hlk57879749"/>
      <w:bookmarkEnd w:id="2"/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2025-06-19T11:33:38Z</dcterms:modified>
</cp:coreProperties>
</file>