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line="240" w:lineRule="exact"/>
        <w:ind/>
        <w:jc w:val="center"/>
        <w:rPr>
          <w:rFonts w:ascii="Times New Roman" w:hAnsi="Times New Roman"/>
          <w:color w:val="000000"/>
          <w:sz w:val="28"/>
          <w:u w:val="none"/>
        </w:rPr>
      </w:pPr>
      <w:r>
        <w:rPr>
          <w:rFonts w:ascii="Times New Roman" w:hAnsi="Times New Roman"/>
          <w:b w:val="1"/>
          <w:color w:val="000000"/>
          <w:sz w:val="28"/>
          <w:u w:val="none"/>
        </w:rPr>
        <w:t>«Право на получение</w:t>
      </w:r>
      <w:r>
        <w:rPr>
          <w:rFonts w:ascii="Times New Roman" w:hAnsi="Times New Roman"/>
          <w:b w:val="1"/>
          <w:color w:val="000000"/>
          <w:sz w:val="28"/>
          <w:u w:val="none"/>
        </w:rPr>
        <w:t xml:space="preserve"> е</w:t>
      </w:r>
      <w:r>
        <w:rPr>
          <w:rFonts w:ascii="Times New Roman" w:hAnsi="Times New Roman"/>
          <w:b w:val="1"/>
          <w:color w:val="000000"/>
          <w:sz w:val="28"/>
          <w:u w:val="none"/>
        </w:rPr>
        <w:t>диновременного пособия беременной жене военнослужащего,</w:t>
      </w:r>
      <w:r>
        <w:rPr>
          <w:rFonts w:ascii="Times New Roman" w:hAnsi="Times New Roman"/>
          <w:b w:val="1"/>
          <w:color w:val="000000"/>
          <w:sz w:val="28"/>
          <w:u w:val="none"/>
        </w:rPr>
        <w:t>проходящего военную службу по призыву</w:t>
      </w:r>
      <w:r>
        <w:rPr>
          <w:rFonts w:ascii="Times New Roman" w:hAnsi="Times New Roman"/>
          <w:b w:val="1"/>
          <w:color w:val="000000"/>
          <w:sz w:val="28"/>
          <w:u w:val="none"/>
        </w:rPr>
        <w:t>»</w:t>
      </w:r>
    </w:p>
    <w:p w14:paraId="02000000">
      <w:pPr>
        <w:spacing w:after="0" w:line="240" w:lineRule="exact"/>
        <w:ind w:firstLine="709" w:left="0"/>
        <w:contextualSpacing w:val="1"/>
        <w:jc w:val="both"/>
        <w:rPr>
          <w:rFonts w:ascii="Times New Roman" w:hAnsi="Times New Roman"/>
          <w:b w:val="1"/>
          <w:color w:val="000000"/>
          <w:sz w:val="28"/>
          <w:u w:val="none"/>
        </w:rPr>
      </w:pPr>
    </w:p>
    <w:p w14:paraId="03000000">
      <w:pPr>
        <w:spacing w:after="0" w:before="0" w:line="240" w:lineRule="exact"/>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 Указанное пособие выплачивается независимо от наличия права на иные виды государственных пособий гражданам, имеющим детей, установленные</w:t>
      </w:r>
      <w:r>
        <w:rPr>
          <w:rFonts w:ascii="Times New Roman" w:hAnsi="Times New Roman"/>
          <w:b w:val="0"/>
          <w:color w:val="000000"/>
          <w:sz w:val="28"/>
          <w:u w:val="none"/>
        </w:rPr>
        <w:t xml:space="preserve"> </w:t>
      </w:r>
      <w:r>
        <w:rPr>
          <w:rFonts w:ascii="Times New Roman" w:hAnsi="Times New Roman"/>
          <w:b w:val="0"/>
          <w:i w:val="0"/>
          <w:caps w:val="0"/>
          <w:color w:val="000000"/>
          <w:spacing w:val="-4"/>
          <w:sz w:val="28"/>
        </w:rPr>
        <w:t>Федеральным законом от 19.05.1995 № 81-ФЗ «О государственных пособиях гражданам, имеющим детей» (далее -</w:t>
      </w:r>
      <w:r>
        <w:rPr>
          <w:rFonts w:ascii="Times New Roman" w:hAnsi="Times New Roman"/>
          <w:b w:val="0"/>
          <w:strike w:val="0"/>
          <w:color w:val="000000"/>
          <w:sz w:val="28"/>
          <w:u w:color="000000" w:val="none"/>
        </w:rPr>
        <w:t xml:space="preserve"> Закон № 81-ФЗ)</w:t>
      </w:r>
      <w:r>
        <w:rPr>
          <w:rFonts w:ascii="Times New Roman" w:hAnsi="Times New Roman"/>
          <w:b w:val="0"/>
          <w:color w:val="000000"/>
          <w:sz w:val="28"/>
          <w:u w:val="none"/>
        </w:rPr>
        <w:t xml:space="preserve"> </w:t>
      </w:r>
      <w:r>
        <w:rPr>
          <w:rFonts w:ascii="Times New Roman" w:hAnsi="Times New Roman"/>
          <w:b w:val="0"/>
          <w:color w:val="000000"/>
          <w:sz w:val="28"/>
          <w:u w:val="none"/>
        </w:rPr>
        <w:t>и законами субъектов Российской Федерации.</w:t>
      </w:r>
    </w:p>
    <w:p w14:paraId="04000000">
      <w:pPr>
        <w:spacing w:after="0" w:before="0" w:line="240" w:lineRule="exact"/>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 Беременной жене курсанта военной профессиональной образовательной организации и военной образовательной организации высшего образования указанное пособие не предоставляется (</w:t>
      </w:r>
      <w:r>
        <w:rPr>
          <w:rFonts w:ascii="Times New Roman" w:hAnsi="Times New Roman"/>
          <w:b w:val="0"/>
          <w:strike w:val="0"/>
          <w:color w:val="000000"/>
          <w:sz w:val="28"/>
          <w:u w:color="000000" w:val="none"/>
        </w:rPr>
        <w:t>ст. 12.3</w:t>
      </w:r>
      <w:r>
        <w:rPr>
          <w:rFonts w:ascii="Times New Roman" w:hAnsi="Times New Roman"/>
          <w:b w:val="0"/>
          <w:color w:val="000000"/>
          <w:sz w:val="28"/>
          <w:u w:val="none"/>
        </w:rPr>
        <w:t xml:space="preserve"> </w:t>
      </w:r>
      <w:r>
        <w:rPr>
          <w:rFonts w:ascii="Times New Roman" w:hAnsi="Times New Roman"/>
          <w:b w:val="0"/>
          <w:color w:val="000000"/>
          <w:sz w:val="28"/>
          <w:u w:val="none"/>
        </w:rPr>
        <w:t>Закона № 81-ФЗ).</w:t>
      </w:r>
    </w:p>
    <w:p w14:paraId="05000000">
      <w:pPr>
        <w:spacing w:after="0" w:before="168" w:line="240" w:lineRule="exact"/>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Обратиться с заявлением и документами, подтверждающими право на пособие, можно в территориальный орган СФР.</w:t>
      </w:r>
    </w:p>
    <w:p w14:paraId="06000000">
      <w:pPr>
        <w:spacing w:after="0" w:before="168" w:line="240" w:lineRule="exact"/>
        <w:ind w:firstLine="540" w:left="0" w:right="0"/>
        <w:jc w:val="both"/>
        <w:rPr>
          <w:rFonts w:ascii="Times New Roman" w:hAnsi="Times New Roman"/>
          <w:b w:val="0"/>
          <w:color w:val="000000"/>
          <w:sz w:val="28"/>
          <w:u w:val="none"/>
        </w:rPr>
      </w:pPr>
      <w:r>
        <w:rPr>
          <w:rFonts w:ascii="Times New Roman" w:hAnsi="Times New Roman"/>
          <w:b w:val="1"/>
          <w:color w:val="000000"/>
          <w:sz w:val="28"/>
          <w:u w:val="none"/>
        </w:rPr>
        <w:t>Размер единовременного пособия</w:t>
      </w:r>
      <w:r>
        <w:rPr>
          <w:rFonts w:ascii="Times New Roman" w:hAnsi="Times New Roman"/>
          <w:b w:val="0"/>
          <w:color w:val="000000"/>
          <w:sz w:val="28"/>
          <w:u w:val="none"/>
        </w:rPr>
        <w:t xml:space="preserve"> </w:t>
      </w:r>
      <w:r>
        <w:rPr>
          <w:rFonts w:ascii="Times New Roman" w:hAnsi="Times New Roman"/>
          <w:b w:val="0"/>
          <w:color w:val="000000"/>
          <w:sz w:val="28"/>
          <w:u w:val="none"/>
        </w:rPr>
        <w:t>беременной жене военнослужащего, проходящего военную службу по призыву, составляет</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14 000 рублей</w:t>
      </w:r>
      <w:r>
        <w:rPr>
          <w:rFonts w:ascii="Times New Roman" w:hAnsi="Times New Roman"/>
          <w:b w:val="0"/>
          <w:color w:val="000000"/>
          <w:sz w:val="28"/>
          <w:u w:val="none"/>
        </w:rPr>
        <w:t xml:space="preserve"> </w:t>
      </w:r>
      <w:r>
        <w:rPr>
          <w:rFonts w:ascii="Times New Roman" w:hAnsi="Times New Roman"/>
          <w:b w:val="0"/>
          <w:color w:val="000000"/>
          <w:sz w:val="28"/>
          <w:u w:val="none"/>
        </w:rPr>
        <w:t>без учета индексации.</w:t>
      </w:r>
    </w:p>
    <w:p w14:paraId="07000000">
      <w:pPr>
        <w:spacing w:after="0" w:before="168" w:line="240" w:lineRule="exact"/>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С 1 февраля 2025 года единовременное пособие беременной жене военнослужащего, проходящего военную службу по призыву, выплачивается в размере 42 665 рублей.</w:t>
      </w:r>
    </w:p>
    <w:p w14:paraId="08000000">
      <w:pPr>
        <w:spacing w:after="0" w:before="0" w:line="240" w:lineRule="exact"/>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w:t>
      </w:r>
    </w:p>
    <w:tbl>
      <w:tblPr>
        <w:tblW w:type="auto" w:w="0"/>
        <w:tblBorders>
          <w:top w:color="000000" w:val="single"/>
          <w:left w:color="000000" w:val="single"/>
          <w:bottom w:color="000000" w:val="single"/>
          <w:right w:color="000000" w:val="single"/>
        </w:tblBorders>
        <w:tblLayout w:type="fixed"/>
      </w:tblPr>
      <w:tblGrid>
        <w:gridCol w:w="2760"/>
        <w:gridCol w:w="2700"/>
        <w:gridCol w:w="1980"/>
        <w:gridCol w:w="1260"/>
      </w:tblGrid>
      <w:tr>
        <w:tc>
          <w:tcPr>
            <w:tcW w:type="dxa" w:w="2760"/>
            <w:tcBorders>
              <w:top w:color="000000" w:sz="6" w:val="single"/>
              <w:left w:color="000000" w:sz="6" w:val="single"/>
              <w:bottom w:color="000000" w:sz="6" w:val="single"/>
              <w:right w:color="000000" w:sz="6" w:val="single"/>
            </w:tcBorders>
            <w:vAlign w:val="top"/>
          </w:tcPr>
          <w:p w14:paraId="09000000">
            <w:pPr>
              <w:spacing w:after="105" w:before="105" w:line="240" w:lineRule="exact"/>
              <w:ind w:firstLine="0" w:left="60" w:right="60"/>
              <w:rPr>
                <w:rFonts w:ascii="Times New Roman" w:hAnsi="Times New Roman"/>
                <w:color w:val="000000"/>
                <w:sz w:val="28"/>
                <w:u w:val="none"/>
              </w:rPr>
            </w:pPr>
          </w:p>
          <w:p w14:paraId="0A000000">
            <w:pPr>
              <w:spacing w:after="0" w:before="0" w:line="240" w:lineRule="exact"/>
              <w:ind w:firstLine="0" w:left="0" w:right="0"/>
              <w:jc w:val="center"/>
              <w:rPr>
                <w:rFonts w:ascii="Times New Roman" w:hAnsi="Times New Roman"/>
                <w:color w:val="000000"/>
                <w:sz w:val="28"/>
                <w:u w:val="none"/>
              </w:rPr>
            </w:pPr>
            <w:r>
              <w:rPr>
                <w:rFonts w:ascii="Times New Roman" w:hAnsi="Times New Roman"/>
                <w:color w:val="000000"/>
                <w:sz w:val="28"/>
                <w:u w:val="none"/>
              </w:rPr>
              <w:t>Дата, с которой производится индексация размеров пособия</w:t>
            </w:r>
          </w:p>
        </w:tc>
        <w:tc>
          <w:tcPr>
            <w:tcW w:type="dxa" w:w="2700"/>
            <w:tcBorders>
              <w:top w:color="000000" w:sz="6" w:val="single"/>
              <w:left w:color="000000" w:sz="6" w:val="single"/>
              <w:bottom w:color="000000" w:sz="6" w:val="single"/>
              <w:right w:color="000000" w:sz="6" w:val="single"/>
            </w:tcBorders>
            <w:vAlign w:val="top"/>
          </w:tcPr>
          <w:p w14:paraId="0B000000">
            <w:pPr>
              <w:spacing w:after="105" w:before="105" w:line="240" w:lineRule="exact"/>
              <w:ind w:firstLine="0" w:left="60" w:right="60"/>
              <w:rPr>
                <w:rFonts w:ascii="Times New Roman" w:hAnsi="Times New Roman"/>
                <w:color w:val="000000"/>
                <w:sz w:val="28"/>
                <w:u w:val="none"/>
              </w:rPr>
            </w:pPr>
          </w:p>
          <w:p w14:paraId="0C000000">
            <w:pPr>
              <w:spacing w:after="0" w:before="0" w:line="240" w:lineRule="exact"/>
              <w:ind w:firstLine="0" w:left="0" w:right="0"/>
              <w:jc w:val="center"/>
              <w:rPr>
                <w:rFonts w:ascii="Times New Roman" w:hAnsi="Times New Roman"/>
                <w:color w:val="000000"/>
                <w:sz w:val="28"/>
                <w:u w:val="none"/>
              </w:rPr>
            </w:pPr>
            <w:r>
              <w:rPr>
                <w:rFonts w:ascii="Times New Roman" w:hAnsi="Times New Roman"/>
                <w:color w:val="000000"/>
                <w:sz w:val="28"/>
                <w:u w:val="none"/>
              </w:rPr>
              <w:t>Основание</w:t>
            </w:r>
          </w:p>
        </w:tc>
        <w:tc>
          <w:tcPr>
            <w:tcW w:type="dxa" w:w="1980"/>
            <w:tcBorders>
              <w:top w:color="000000" w:sz="6" w:val="single"/>
              <w:left w:color="000000" w:sz="6" w:val="single"/>
              <w:bottom w:color="000000" w:sz="6" w:val="single"/>
              <w:right w:color="000000" w:sz="6" w:val="single"/>
            </w:tcBorders>
            <w:vAlign w:val="top"/>
          </w:tcPr>
          <w:p w14:paraId="0D000000">
            <w:pPr>
              <w:spacing w:after="105" w:before="105" w:line="240" w:lineRule="exact"/>
              <w:ind w:firstLine="0" w:left="60" w:right="60"/>
              <w:rPr>
                <w:rFonts w:ascii="Times New Roman" w:hAnsi="Times New Roman"/>
                <w:color w:val="000000"/>
                <w:sz w:val="28"/>
                <w:u w:val="none"/>
              </w:rPr>
            </w:pPr>
          </w:p>
          <w:p w14:paraId="0E000000">
            <w:pPr>
              <w:spacing w:after="0" w:before="0" w:line="240" w:lineRule="exact"/>
              <w:ind w:firstLine="0" w:left="0" w:right="0"/>
              <w:jc w:val="center"/>
              <w:rPr>
                <w:rFonts w:ascii="Times New Roman" w:hAnsi="Times New Roman"/>
                <w:color w:val="000000"/>
                <w:sz w:val="28"/>
                <w:u w:val="none"/>
              </w:rPr>
            </w:pPr>
            <w:r>
              <w:rPr>
                <w:rFonts w:ascii="Times New Roman" w:hAnsi="Times New Roman"/>
                <w:color w:val="000000"/>
                <w:sz w:val="28"/>
                <w:u w:val="none"/>
              </w:rPr>
              <w:t>Коэффициент индексации</w:t>
            </w:r>
          </w:p>
        </w:tc>
        <w:tc>
          <w:tcPr>
            <w:tcW w:type="dxa" w:w="1260"/>
            <w:tcBorders>
              <w:top w:color="000000" w:sz="6" w:val="single"/>
              <w:left w:color="000000" w:sz="6" w:val="single"/>
              <w:bottom w:color="000000" w:sz="6" w:val="single"/>
              <w:right w:color="000000" w:sz="6" w:val="single"/>
            </w:tcBorders>
            <w:vAlign w:val="top"/>
          </w:tcPr>
          <w:p w14:paraId="0F000000">
            <w:pPr>
              <w:spacing w:after="105" w:before="105" w:line="240" w:lineRule="exact"/>
              <w:ind w:firstLine="0" w:left="60" w:right="60"/>
              <w:rPr>
                <w:rFonts w:ascii="Times New Roman" w:hAnsi="Times New Roman"/>
                <w:color w:val="000000"/>
                <w:sz w:val="28"/>
                <w:u w:val="none"/>
              </w:rPr>
            </w:pPr>
          </w:p>
          <w:p w14:paraId="10000000">
            <w:pPr>
              <w:spacing w:after="0" w:before="0" w:line="240" w:lineRule="exact"/>
              <w:ind w:firstLine="0" w:left="0" w:right="0"/>
              <w:jc w:val="center"/>
              <w:rPr>
                <w:rFonts w:ascii="Times New Roman" w:hAnsi="Times New Roman"/>
                <w:color w:val="000000"/>
                <w:sz w:val="28"/>
                <w:u w:val="none"/>
              </w:rPr>
            </w:pPr>
            <w:r>
              <w:rPr>
                <w:rFonts w:ascii="Times New Roman" w:hAnsi="Times New Roman"/>
                <w:color w:val="000000"/>
                <w:sz w:val="28"/>
                <w:u w:val="none"/>
              </w:rPr>
              <w:t>Размер пособия (в рублях)</w:t>
            </w:r>
          </w:p>
        </w:tc>
      </w:tr>
      <w:tr>
        <w:tc>
          <w:tcPr>
            <w:tcW w:type="dxa" w:w="2760"/>
            <w:tcBorders>
              <w:top w:color="000000" w:sz="6" w:val="single"/>
              <w:left w:color="000000" w:sz="6" w:val="single"/>
              <w:bottom w:color="000000" w:sz="6" w:val="single"/>
              <w:right w:color="000000" w:sz="6" w:val="single"/>
            </w:tcBorders>
            <w:vAlign w:val="top"/>
          </w:tcPr>
          <w:p w14:paraId="11000000">
            <w:pPr>
              <w:spacing w:after="105" w:before="105" w:line="240" w:lineRule="exact"/>
              <w:ind w:firstLine="0" w:left="60" w:right="60"/>
              <w:rPr>
                <w:rFonts w:ascii="Times New Roman" w:hAnsi="Times New Roman"/>
                <w:color w:val="000000"/>
                <w:sz w:val="28"/>
                <w:u w:val="none"/>
              </w:rPr>
            </w:pPr>
          </w:p>
          <w:p w14:paraId="12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С 01.02.2025</w:t>
            </w:r>
          </w:p>
        </w:tc>
        <w:tc>
          <w:tcPr>
            <w:tcW w:type="dxa" w:w="2700"/>
            <w:tcBorders>
              <w:top w:color="000000" w:sz="6" w:val="single"/>
              <w:left w:color="000000" w:sz="6" w:val="single"/>
              <w:bottom w:color="000000" w:sz="6" w:val="single"/>
              <w:right w:color="000000" w:sz="6" w:val="single"/>
            </w:tcBorders>
            <w:vAlign w:val="top"/>
          </w:tcPr>
          <w:p w14:paraId="13000000">
            <w:pPr>
              <w:spacing w:after="105" w:before="105" w:line="240" w:lineRule="exact"/>
              <w:ind w:firstLine="0" w:left="60" w:right="60"/>
              <w:rPr>
                <w:rFonts w:ascii="Times New Roman" w:hAnsi="Times New Roman"/>
                <w:color w:val="000000"/>
                <w:sz w:val="28"/>
                <w:u w:val="none"/>
              </w:rPr>
            </w:pPr>
          </w:p>
          <w:p w14:paraId="14000000">
            <w:pPr>
              <w:spacing w:after="0" w:before="0" w:line="240" w:lineRule="exact"/>
              <w:ind w:firstLine="0" w:left="0" w:right="0"/>
              <w:rPr>
                <w:rFonts w:ascii="Times New Roman" w:hAnsi="Times New Roman"/>
                <w:color w:val="000000"/>
                <w:sz w:val="28"/>
                <w:u w:val="none"/>
              </w:rPr>
            </w:pPr>
            <w:r>
              <w:rPr>
                <w:rFonts w:ascii="Times New Roman" w:hAnsi="Times New Roman"/>
                <w:strike w:val="0"/>
                <w:color w:val="000000"/>
                <w:sz w:val="28"/>
                <w:u w:color="000000" w:val="none"/>
              </w:rPr>
              <w:t>Постановление</w:t>
            </w:r>
            <w:r>
              <w:rPr>
                <w:rFonts w:ascii="Times New Roman" w:hAnsi="Times New Roman"/>
                <w:color w:val="000000"/>
                <w:sz w:val="28"/>
                <w:u w:val="none"/>
              </w:rPr>
              <w:t xml:space="preserve"> </w:t>
            </w:r>
            <w:r>
              <w:rPr>
                <w:rFonts w:ascii="Times New Roman" w:hAnsi="Times New Roman"/>
                <w:color w:val="000000"/>
                <w:sz w:val="28"/>
                <w:u w:val="none"/>
              </w:rPr>
              <w:t>Правительства РФ от 23.01.2025 № 33</w:t>
            </w:r>
          </w:p>
        </w:tc>
        <w:tc>
          <w:tcPr>
            <w:tcW w:type="dxa" w:w="1980"/>
            <w:tcBorders>
              <w:top w:color="000000" w:sz="6" w:val="single"/>
              <w:left w:color="000000" w:sz="6" w:val="single"/>
              <w:bottom w:color="000000" w:sz="6" w:val="single"/>
              <w:right w:color="000000" w:sz="6" w:val="single"/>
            </w:tcBorders>
            <w:vAlign w:val="top"/>
          </w:tcPr>
          <w:p w14:paraId="15000000">
            <w:pPr>
              <w:spacing w:after="105" w:before="105" w:line="240" w:lineRule="exact"/>
              <w:ind w:firstLine="0" w:left="60" w:right="60"/>
              <w:rPr>
                <w:rFonts w:ascii="Times New Roman" w:hAnsi="Times New Roman"/>
                <w:color w:val="000000"/>
                <w:sz w:val="28"/>
                <w:u w:val="none"/>
              </w:rPr>
            </w:pPr>
          </w:p>
          <w:p w14:paraId="16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1,095</w:t>
            </w:r>
          </w:p>
        </w:tc>
        <w:tc>
          <w:tcPr>
            <w:tcW w:type="dxa" w:w="1260"/>
            <w:tcBorders>
              <w:top w:color="000000" w:sz="6" w:val="single"/>
              <w:left w:color="000000" w:sz="6" w:val="single"/>
              <w:bottom w:color="000000" w:sz="6" w:val="single"/>
              <w:right w:color="000000" w:sz="6" w:val="single"/>
            </w:tcBorders>
            <w:vAlign w:val="top"/>
          </w:tcPr>
          <w:p w14:paraId="17000000">
            <w:pPr>
              <w:spacing w:after="105" w:before="105" w:line="240" w:lineRule="exact"/>
              <w:ind w:firstLine="0" w:left="60" w:right="60"/>
              <w:rPr>
                <w:rFonts w:ascii="Times New Roman" w:hAnsi="Times New Roman"/>
                <w:color w:val="000000"/>
                <w:sz w:val="28"/>
                <w:u w:val="none"/>
              </w:rPr>
            </w:pPr>
          </w:p>
          <w:p w14:paraId="18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42 665</w:t>
            </w:r>
          </w:p>
        </w:tc>
      </w:tr>
      <w:tr>
        <w:tc>
          <w:tcPr>
            <w:tcW w:type="dxa" w:w="2760"/>
            <w:tcBorders>
              <w:top w:color="000000" w:sz="6" w:val="single"/>
              <w:left w:color="000000" w:sz="6" w:val="single"/>
              <w:bottom w:color="000000" w:sz="6" w:val="single"/>
              <w:right w:color="000000" w:sz="6" w:val="single"/>
            </w:tcBorders>
            <w:vAlign w:val="top"/>
          </w:tcPr>
          <w:p w14:paraId="19000000">
            <w:pPr>
              <w:spacing w:after="105" w:before="105" w:line="240" w:lineRule="exact"/>
              <w:ind w:firstLine="0" w:left="60" w:right="60"/>
              <w:rPr>
                <w:rFonts w:ascii="Times New Roman" w:hAnsi="Times New Roman"/>
                <w:color w:val="000000"/>
                <w:sz w:val="28"/>
                <w:u w:val="none"/>
              </w:rPr>
            </w:pPr>
          </w:p>
          <w:p w14:paraId="1A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С 01.02.2024 по 31.01.2025</w:t>
            </w:r>
          </w:p>
        </w:tc>
        <w:tc>
          <w:tcPr>
            <w:tcW w:type="dxa" w:w="2700"/>
            <w:tcBorders>
              <w:top w:color="000000" w:sz="6" w:val="single"/>
              <w:left w:color="000000" w:sz="6" w:val="single"/>
              <w:bottom w:color="000000" w:sz="6" w:val="single"/>
              <w:right w:color="000000" w:sz="6" w:val="single"/>
            </w:tcBorders>
            <w:vAlign w:val="top"/>
          </w:tcPr>
          <w:p w14:paraId="1B000000">
            <w:pPr>
              <w:spacing w:after="105" w:before="105" w:line="240" w:lineRule="exact"/>
              <w:ind w:firstLine="0" w:left="60" w:right="60"/>
              <w:rPr>
                <w:rFonts w:ascii="Times New Roman" w:hAnsi="Times New Roman"/>
                <w:color w:val="000000"/>
                <w:sz w:val="28"/>
                <w:u w:val="none"/>
              </w:rPr>
            </w:pPr>
          </w:p>
          <w:p w14:paraId="1C000000">
            <w:pPr>
              <w:spacing w:after="0" w:before="0" w:line="240" w:lineRule="exact"/>
              <w:ind w:firstLine="0" w:left="0" w:right="0"/>
              <w:rPr>
                <w:rFonts w:ascii="Times New Roman" w:hAnsi="Times New Roman"/>
                <w:color w:val="000000"/>
                <w:sz w:val="28"/>
                <w:u w:val="none"/>
              </w:rPr>
            </w:pPr>
            <w:r>
              <w:rPr>
                <w:rFonts w:ascii="Times New Roman" w:hAnsi="Times New Roman"/>
                <w:strike w:val="0"/>
                <w:color w:val="000000"/>
                <w:sz w:val="28"/>
                <w:u w:color="000000" w:val="none"/>
              </w:rPr>
              <w:t>Постановление</w:t>
            </w:r>
            <w:r>
              <w:rPr>
                <w:rFonts w:ascii="Times New Roman" w:hAnsi="Times New Roman"/>
                <w:color w:val="000000"/>
                <w:sz w:val="28"/>
                <w:u w:val="none"/>
              </w:rPr>
              <w:t xml:space="preserve"> </w:t>
            </w:r>
            <w:r>
              <w:rPr>
                <w:rFonts w:ascii="Times New Roman" w:hAnsi="Times New Roman"/>
                <w:color w:val="000000"/>
                <w:sz w:val="28"/>
                <w:u w:val="none"/>
              </w:rPr>
              <w:t>Правительства РФ от 23.01.2024 № 46</w:t>
            </w:r>
          </w:p>
        </w:tc>
        <w:tc>
          <w:tcPr>
            <w:tcW w:type="dxa" w:w="1980"/>
            <w:tcBorders>
              <w:top w:color="000000" w:sz="6" w:val="single"/>
              <w:left w:color="000000" w:sz="6" w:val="single"/>
              <w:bottom w:color="000000" w:sz="6" w:val="single"/>
              <w:right w:color="000000" w:sz="6" w:val="single"/>
            </w:tcBorders>
            <w:vAlign w:val="top"/>
          </w:tcPr>
          <w:p w14:paraId="1D000000">
            <w:pPr>
              <w:spacing w:after="105" w:before="105" w:line="240" w:lineRule="exact"/>
              <w:ind w:firstLine="0" w:left="60" w:right="60"/>
              <w:rPr>
                <w:rFonts w:ascii="Times New Roman" w:hAnsi="Times New Roman"/>
                <w:color w:val="000000"/>
                <w:sz w:val="28"/>
                <w:u w:val="none"/>
              </w:rPr>
            </w:pPr>
          </w:p>
          <w:p w14:paraId="1E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1,074</w:t>
            </w:r>
          </w:p>
        </w:tc>
        <w:tc>
          <w:tcPr>
            <w:tcW w:type="dxa" w:w="1260"/>
            <w:tcBorders>
              <w:top w:color="000000" w:sz="6" w:val="single"/>
              <w:left w:color="000000" w:sz="6" w:val="single"/>
              <w:bottom w:color="000000" w:sz="6" w:val="single"/>
              <w:right w:color="000000" w:sz="6" w:val="single"/>
            </w:tcBorders>
            <w:vAlign w:val="top"/>
          </w:tcPr>
          <w:p w14:paraId="1F000000">
            <w:pPr>
              <w:spacing w:after="105" w:before="105" w:line="240" w:lineRule="exact"/>
              <w:ind w:firstLine="0" w:left="60" w:right="60"/>
              <w:rPr>
                <w:rFonts w:ascii="Times New Roman" w:hAnsi="Times New Roman"/>
                <w:color w:val="000000"/>
                <w:sz w:val="28"/>
                <w:u w:val="none"/>
              </w:rPr>
            </w:pPr>
          </w:p>
          <w:p w14:paraId="20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38 963,47</w:t>
            </w:r>
          </w:p>
        </w:tc>
      </w:tr>
      <w:tr>
        <w:tc>
          <w:tcPr>
            <w:tcW w:type="dxa" w:w="2760"/>
            <w:tcBorders>
              <w:top w:color="000000" w:sz="6" w:val="single"/>
              <w:left w:color="000000" w:sz="6" w:val="single"/>
              <w:bottom w:color="000000" w:sz="6" w:val="single"/>
              <w:right w:color="000000" w:sz="6" w:val="single"/>
            </w:tcBorders>
            <w:vAlign w:val="top"/>
          </w:tcPr>
          <w:p w14:paraId="21000000">
            <w:pPr>
              <w:spacing w:after="105" w:before="105" w:line="240" w:lineRule="exact"/>
              <w:ind w:firstLine="0" w:left="60" w:right="60"/>
              <w:rPr>
                <w:rFonts w:ascii="Times New Roman" w:hAnsi="Times New Roman"/>
                <w:color w:val="000000"/>
                <w:sz w:val="28"/>
                <w:u w:val="none"/>
              </w:rPr>
            </w:pPr>
          </w:p>
          <w:p w14:paraId="22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С 01.02.2023 по 31.01.2024</w:t>
            </w:r>
          </w:p>
        </w:tc>
        <w:tc>
          <w:tcPr>
            <w:tcW w:type="dxa" w:w="2700"/>
            <w:tcBorders>
              <w:top w:color="000000" w:sz="6" w:val="single"/>
              <w:left w:color="000000" w:sz="6" w:val="single"/>
              <w:bottom w:color="000000" w:sz="6" w:val="single"/>
              <w:right w:color="000000" w:sz="6" w:val="single"/>
            </w:tcBorders>
            <w:vAlign w:val="top"/>
          </w:tcPr>
          <w:p w14:paraId="23000000">
            <w:pPr>
              <w:spacing w:after="105" w:before="105" w:line="240" w:lineRule="exact"/>
              <w:ind w:firstLine="0" w:left="60" w:right="60"/>
              <w:rPr>
                <w:rFonts w:ascii="Times New Roman" w:hAnsi="Times New Roman"/>
                <w:color w:val="000000"/>
                <w:sz w:val="28"/>
                <w:u w:val="none"/>
              </w:rPr>
            </w:pPr>
          </w:p>
          <w:p w14:paraId="24000000">
            <w:pPr>
              <w:spacing w:after="0" w:before="0" w:line="240" w:lineRule="exact"/>
              <w:ind w:firstLine="0" w:left="0" w:right="0"/>
              <w:rPr>
                <w:rFonts w:ascii="Times New Roman" w:hAnsi="Times New Roman"/>
                <w:color w:val="000000"/>
                <w:sz w:val="28"/>
                <w:u w:val="none"/>
              </w:rPr>
            </w:pPr>
            <w:r>
              <w:rPr>
                <w:rFonts w:ascii="Times New Roman" w:hAnsi="Times New Roman"/>
                <w:strike w:val="0"/>
                <w:color w:val="000000"/>
                <w:sz w:val="28"/>
                <w:u w:color="000000" w:val="none"/>
              </w:rPr>
              <w:t>Постановление</w:t>
            </w:r>
            <w:r>
              <w:rPr>
                <w:rFonts w:ascii="Times New Roman" w:hAnsi="Times New Roman"/>
                <w:color w:val="000000"/>
                <w:sz w:val="28"/>
                <w:u w:val="none"/>
              </w:rPr>
              <w:t xml:space="preserve"> </w:t>
            </w:r>
            <w:r>
              <w:rPr>
                <w:rFonts w:ascii="Times New Roman" w:hAnsi="Times New Roman"/>
                <w:color w:val="000000"/>
                <w:sz w:val="28"/>
                <w:u w:val="none"/>
              </w:rPr>
              <w:t>Правительства РФ от 30.01.2023 № 119</w:t>
            </w:r>
          </w:p>
        </w:tc>
        <w:tc>
          <w:tcPr>
            <w:tcW w:type="dxa" w:w="1980"/>
            <w:tcBorders>
              <w:top w:color="000000" w:sz="6" w:val="single"/>
              <w:left w:color="000000" w:sz="6" w:val="single"/>
              <w:bottom w:color="000000" w:sz="6" w:val="single"/>
              <w:right w:color="000000" w:sz="6" w:val="single"/>
            </w:tcBorders>
            <w:vAlign w:val="top"/>
          </w:tcPr>
          <w:p w14:paraId="25000000">
            <w:pPr>
              <w:spacing w:after="105" w:before="105" w:line="240" w:lineRule="exact"/>
              <w:ind w:firstLine="0" w:left="60" w:right="60"/>
              <w:rPr>
                <w:rFonts w:ascii="Times New Roman" w:hAnsi="Times New Roman"/>
                <w:color w:val="000000"/>
                <w:sz w:val="28"/>
                <w:u w:val="none"/>
              </w:rPr>
            </w:pPr>
          </w:p>
          <w:p w14:paraId="26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1,119</w:t>
            </w:r>
          </w:p>
        </w:tc>
        <w:tc>
          <w:tcPr>
            <w:tcW w:type="dxa" w:w="1260"/>
            <w:tcBorders>
              <w:top w:color="000000" w:sz="6" w:val="single"/>
              <w:left w:color="000000" w:sz="6" w:val="single"/>
              <w:bottom w:color="000000" w:sz="6" w:val="single"/>
              <w:right w:color="000000" w:sz="6" w:val="single"/>
            </w:tcBorders>
            <w:vAlign w:val="top"/>
          </w:tcPr>
          <w:p w14:paraId="27000000">
            <w:pPr>
              <w:spacing w:after="105" w:before="105" w:line="240" w:lineRule="exact"/>
              <w:ind w:firstLine="0" w:left="60" w:right="60"/>
              <w:rPr>
                <w:rFonts w:ascii="Times New Roman" w:hAnsi="Times New Roman"/>
                <w:color w:val="000000"/>
                <w:sz w:val="28"/>
                <w:u w:val="none"/>
              </w:rPr>
            </w:pPr>
          </w:p>
          <w:p w14:paraId="28000000">
            <w:pPr>
              <w:spacing w:after="0" w:before="0" w:line="240" w:lineRule="exact"/>
              <w:ind w:firstLine="0" w:left="0" w:right="0"/>
              <w:rPr>
                <w:rFonts w:ascii="Times New Roman" w:hAnsi="Times New Roman"/>
                <w:color w:val="000000"/>
                <w:sz w:val="28"/>
                <w:u w:val="none"/>
              </w:rPr>
            </w:pPr>
            <w:r>
              <w:rPr>
                <w:rFonts w:ascii="Times New Roman" w:hAnsi="Times New Roman"/>
                <w:color w:val="000000"/>
                <w:sz w:val="28"/>
                <w:u w:val="none"/>
              </w:rPr>
              <w:t>36 278,84</w:t>
            </w:r>
          </w:p>
        </w:tc>
      </w:tr>
    </w:tbl>
    <w:p w14:paraId="29000000">
      <w:pPr>
        <w:spacing w:after="0" w:before="168" w:line="240" w:lineRule="exact"/>
        <w:ind w:firstLine="540" w:left="0" w:right="0"/>
        <w:jc w:val="both"/>
        <w:rPr>
          <w:rFonts w:ascii="Times New Roman" w:hAnsi="Times New Roman"/>
          <w:b w:val="0"/>
          <w:color w:val="000000"/>
          <w:sz w:val="28"/>
          <w:u w:val="none"/>
        </w:rPr>
      </w:pPr>
    </w:p>
    <w:p w14:paraId="2A000000">
      <w:pPr>
        <w:spacing w:after="0" w:before="0" w:line="240" w:lineRule="exact"/>
        <w:ind w:firstLine="0" w:left="0" w:right="0"/>
        <w:jc w:val="both"/>
        <w:rPr>
          <w:rFonts w:ascii="Times New Roman" w:hAnsi="Times New Roman"/>
          <w:b w:val="0"/>
          <w:color w:val="000000"/>
          <w:sz w:val="28"/>
          <w:u w:val="none"/>
        </w:rPr>
      </w:pPr>
    </w:p>
    <w:p w14:paraId="2B000000">
      <w:pPr>
        <w:spacing w:after="0" w:before="0" w:line="240" w:lineRule="exact"/>
        <w:ind w:firstLine="0" w:left="0" w:right="0"/>
        <w:jc w:val="both"/>
        <w:rPr>
          <w:rFonts w:ascii="Times New Roman" w:hAnsi="Times New Roman"/>
          <w:b w:val="0"/>
          <w:color w:val="000000"/>
          <w:sz w:val="28"/>
          <w:u w:val="none"/>
        </w:rPr>
      </w:pPr>
      <w:r>
        <w:rPr>
          <w:rFonts w:ascii="Times New Roman" w:hAnsi="Times New Roman"/>
          <w:color w:val="000000"/>
          <w:sz w:val="28"/>
          <w:u w:val="none"/>
        </w:rPr>
        <w:br/>
      </w:r>
      <w:bookmarkStart w:id="1" w:name="_GoBack"/>
      <w:bookmarkEnd w:id="1"/>
    </w:p>
    <w:p w14:paraId="2C000000">
      <w:pPr>
        <w:spacing w:line="240" w:lineRule="exact"/>
        <w:ind/>
        <w:rPr>
          <w:rFonts w:ascii="Times New Roman" w:hAnsi="Times New Roman"/>
          <w:color w:val="000000"/>
          <w:sz w:val="28"/>
          <w:u w:val="none"/>
        </w:rPr>
      </w:pPr>
      <w:r>
        <w:rPr>
          <w:rFonts w:ascii="Times New Roman" w:hAnsi="Times New Roman"/>
          <w:color w:val="000000"/>
          <w:sz w:val="28"/>
          <w:u w:val="none"/>
        </w:rPr>
        <w:t xml:space="preserve">Помощник </w:t>
      </w:r>
      <w:r>
        <w:rPr>
          <w:rFonts w:ascii="Times New Roman" w:hAnsi="Times New Roman"/>
          <w:color w:val="000000"/>
          <w:sz w:val="28"/>
          <w:u w:val="none"/>
        </w:rPr>
        <w:t xml:space="preserve">межрайонного </w:t>
      </w:r>
      <w:r>
        <w:rPr>
          <w:rFonts w:ascii="Times New Roman" w:hAnsi="Times New Roman"/>
          <w:color w:val="000000"/>
          <w:sz w:val="28"/>
          <w:u w:val="none"/>
        </w:rPr>
        <w:t xml:space="preserve">прокурора </w:t>
      </w:r>
    </w:p>
    <w:p w14:paraId="2D000000">
      <w:pPr>
        <w:spacing w:line="240" w:lineRule="exact"/>
        <w:ind/>
        <w:rPr>
          <w:rFonts w:ascii="Times New Roman" w:hAnsi="Times New Roman"/>
          <w:color w:val="000000"/>
          <w:sz w:val="28"/>
          <w:u w:val="none"/>
        </w:rPr>
      </w:pPr>
      <w:r>
        <w:rPr>
          <w:rFonts w:ascii="Times New Roman" w:hAnsi="Times New Roman"/>
          <w:color w:val="000000"/>
          <w:sz w:val="28"/>
          <w:u w:val="none"/>
        </w:rPr>
        <w:t xml:space="preserve">юрист </w:t>
      </w:r>
      <w:r>
        <w:rPr>
          <w:rFonts w:ascii="Times New Roman" w:hAnsi="Times New Roman"/>
          <w:color w:val="000000"/>
          <w:sz w:val="28"/>
          <w:u w:val="none"/>
        </w:rPr>
        <w:t>2</w:t>
      </w:r>
      <w:r>
        <w:rPr>
          <w:rFonts w:ascii="Times New Roman" w:hAnsi="Times New Roman"/>
          <w:color w:val="000000"/>
          <w:sz w:val="28"/>
          <w:u w:val="none"/>
        </w:rPr>
        <w:t xml:space="preserve"> класса                                                                         </w:t>
      </w:r>
      <w:r>
        <w:rPr>
          <w:rFonts w:ascii="Times New Roman" w:hAnsi="Times New Roman"/>
          <w:color w:val="000000"/>
          <w:sz w:val="28"/>
          <w:u w:val="none"/>
        </w:rPr>
        <w:t xml:space="preserve">            </w:t>
      </w:r>
      <w:r>
        <w:rPr>
          <w:rFonts w:ascii="Times New Roman" w:hAnsi="Times New Roman"/>
          <w:color w:val="000000"/>
          <w:sz w:val="28"/>
          <w:u w:val="none"/>
        </w:rPr>
        <w:t xml:space="preserve">      </w:t>
      </w:r>
      <w:r>
        <w:rPr>
          <w:rFonts w:ascii="Times New Roman" w:hAnsi="Times New Roman"/>
          <w:color w:val="000000"/>
          <w:sz w:val="28"/>
          <w:u w:val="none"/>
        </w:rPr>
        <w:t>Е.В. Сидорова</w:t>
      </w:r>
    </w:p>
    <w:sectPr>
      <w:pgSz w:h="16838" w:orient="portrait" w:w="11906"/>
      <w:pgMar w:bottom="1134" w:footer="709" w:gutter="0" w:header="709" w:left="1418"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Balloon Text"/>
    <w:basedOn w:val="Style_1"/>
    <w:link w:val="Style_14_ch"/>
    <w:pPr>
      <w:spacing w:after="0" w:line="240" w:lineRule="auto"/>
      <w:ind/>
    </w:pPr>
    <w:rPr>
      <w:rFonts w:ascii="Segoe UI" w:hAnsi="Segoe UI"/>
      <w:sz w:val="18"/>
    </w:rPr>
  </w:style>
  <w:style w:styleId="Style_14_ch" w:type="character">
    <w:name w:val="Balloon Text"/>
    <w:basedOn w:val="Style_1_ch"/>
    <w:link w:val="Style_14"/>
    <w:rPr>
      <w:rFonts w:ascii="Segoe UI" w:hAnsi="Segoe UI"/>
      <w:sz w:val="18"/>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2025-06-19T09:18:27Z</dcterms:modified>
</cp:coreProperties>
</file>