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DD" w:rsidRPr="00735173" w:rsidRDefault="004A6ADD" w:rsidP="004A6ADD">
      <w:pPr>
        <w:pStyle w:val="20"/>
        <w:shd w:val="clear" w:color="auto" w:fill="auto"/>
        <w:spacing w:after="0" w:line="240" w:lineRule="auto"/>
        <w:ind w:firstLine="709"/>
        <w:rPr>
          <w:rFonts w:ascii="Times New Roman" w:hAnsi="Times New Roman" w:cs="Times New Roman"/>
          <w:b/>
          <w:bCs/>
          <w:sz w:val="24"/>
          <w:szCs w:val="24"/>
        </w:rPr>
      </w:pPr>
      <w:r w:rsidRPr="007351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5173">
        <w:rPr>
          <w:rFonts w:ascii="Times New Roman" w:hAnsi="Times New Roman" w:cs="Times New Roman"/>
          <w:b/>
          <w:bCs/>
          <w:sz w:val="24"/>
          <w:szCs w:val="24"/>
        </w:rPr>
        <w:t>Ответственность за немедицинское потребление наркотиков.</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Ответственность за незаконный оборот наркотических веществ и их аналогов сегодня в нашей стране предусмотрена не только Кодексом Российской Федерации об административных правонарушениях (далее - КоАП РФ), но и, конечно, Уголовным кодексом Российской Федерации (далее - УК РФ).</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Статья 6,8 КоАП РФ носит название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Эта норма предусматривает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Примечание к этой статье гласит, что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Аналоги наркотических средств и психотропных веществ - это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Статья 6.13 КоАП РФ закрепляет ответственность за пропаганду либо незаконную рекламу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 этом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 xml:space="preserve">Статьей 6.16 КоАП РФ установлена административная ответственность за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w:t>
      </w:r>
      <w:r w:rsidRPr="00735173">
        <w:rPr>
          <w:rFonts w:ascii="Times New Roman" w:hAnsi="Times New Roman" w:cs="Times New Roman"/>
          <w:sz w:val="24"/>
          <w:szCs w:val="24"/>
          <w:lang w:val="en-US"/>
        </w:rPr>
        <w:t>N</w:t>
      </w:r>
      <w:r w:rsidRPr="00735173">
        <w:rPr>
          <w:rFonts w:ascii="Times New Roman" w:hAnsi="Times New Roman" w:cs="Times New Roman"/>
          <w:sz w:val="24"/>
          <w:szCs w:val="24"/>
        </w:rPr>
        <w:t xml:space="preserve"> 681 прекурсоров наркотических средств или психотропных веществ или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w:t>
      </w:r>
    </w:p>
    <w:p w:rsidR="004A6ADD" w:rsidRPr="00735173" w:rsidRDefault="004A6ADD" w:rsidP="004A6ADD">
      <w:pPr>
        <w:pStyle w:val="21"/>
        <w:shd w:val="clear" w:color="auto" w:fill="auto"/>
        <w:spacing w:before="0" w:line="269" w:lineRule="exact"/>
        <w:ind w:firstLine="709"/>
        <w:rPr>
          <w:rFonts w:ascii="Times New Roman" w:hAnsi="Times New Roman" w:cs="Times New Roman"/>
          <w:sz w:val="24"/>
          <w:szCs w:val="24"/>
        </w:rPr>
      </w:pPr>
      <w:r w:rsidRPr="00735173">
        <w:rPr>
          <w:rFonts w:ascii="Times New Roman" w:hAnsi="Times New Roman" w:cs="Times New Roman"/>
          <w:sz w:val="24"/>
          <w:szCs w:val="24"/>
        </w:rPr>
        <w:t>Глава 25 УК РФ содержит группу преступлений против здоровья населения и общественной нравственности.</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 xml:space="preserve">Статья 228 УК РФ закрепляет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в крупном размере,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w:t>
      </w:r>
      <w:r w:rsidRPr="00735173">
        <w:rPr>
          <w:rFonts w:ascii="Times New Roman" w:hAnsi="Times New Roman" w:cs="Times New Roman"/>
          <w:sz w:val="24"/>
          <w:szCs w:val="24"/>
        </w:rPr>
        <w:lastRenderedPageBreak/>
        <w:t>крупном размере.</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 этом те же деяния, совершенные в особо крупном размере, образуют квалифицированный состав этого преступления. Как можно заметить, эта статья УК РФ схожа по объективной стороне со ст. 6.8 КоАП РФ. Уголовная ответственность соответственно наступит лишь тогда, когда будет иметь место признак крупности.</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 этом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средава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В правоприменительной деятельности под приобретением наркотических средств или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понимается их покупка, получение в качестве средства взаиморасчета за проделанную работу, оказанную услугу или в уплату долга, в обмен на другие товары и вещи, присвоение найденного и другое.</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Как приобретение следует рассматривать и сбор наркосодержащих растений с земельных участков, принадлежащих сельскохозяйственным и иным предприятиям, а также гражданам, если эти растения не высевались и не выращивались.</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Под хранением следует понимать любые действия, связанные с фактическим нахождением наркотических средств или психотропных веществ во владении виновного. Ответственность за хранение наступает независимо от его продолжительности.</w:t>
      </w:r>
    </w:p>
    <w:p w:rsidR="004A6ADD" w:rsidRPr="00735173"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Перевозкой являются действия по перемещению наркотических средств или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 одного места в другое, в том числе в пределах одного и того же населенного пункта, совершенные с использованием любого вида транспортного средства.</w:t>
      </w:r>
    </w:p>
    <w:p w:rsidR="004A6ADD" w:rsidRDefault="004A6ADD" w:rsidP="004A6ADD">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Крупный и особо крупный размеры наркотических средств и психотропных веществ для целей этой статьи, а также ст. ст. 228.1, 229 и 229.1 УК РФ утверждаются Правительством Российской Федерации. При этом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r>
        <w:rPr>
          <w:rFonts w:ascii="Times New Roman" w:hAnsi="Times New Roman" w:cs="Times New Roman"/>
          <w:sz w:val="24"/>
          <w:szCs w:val="24"/>
        </w:rPr>
        <w:t>.</w:t>
      </w:r>
    </w:p>
    <w:p w:rsidR="004A6ADD" w:rsidRDefault="004A6ADD" w:rsidP="004A6ADD">
      <w:pPr>
        <w:pStyle w:val="21"/>
        <w:shd w:val="clear" w:color="auto" w:fill="auto"/>
        <w:spacing w:before="0" w:line="240" w:lineRule="auto"/>
        <w:ind w:firstLine="709"/>
        <w:rPr>
          <w:rFonts w:ascii="Times New Roman" w:hAnsi="Times New Roman" w:cs="Times New Roman"/>
          <w:sz w:val="24"/>
          <w:szCs w:val="24"/>
        </w:rPr>
      </w:pPr>
    </w:p>
    <w:p w:rsidR="004A6ADD" w:rsidRDefault="004A6ADD" w:rsidP="004A6ADD">
      <w:pPr>
        <w:pStyle w:val="21"/>
        <w:shd w:val="clear" w:color="auto" w:fill="auto"/>
        <w:spacing w:before="0" w:line="240" w:lineRule="auto"/>
        <w:ind w:firstLine="709"/>
        <w:rPr>
          <w:rFonts w:ascii="Times New Roman" w:hAnsi="Times New Roman" w:cs="Times New Roman"/>
          <w:sz w:val="24"/>
          <w:szCs w:val="24"/>
        </w:rPr>
      </w:pPr>
    </w:p>
    <w:p w:rsidR="004A6ADD" w:rsidRDefault="004A6ADD" w:rsidP="004A6ADD">
      <w:pPr>
        <w:pStyle w:val="21"/>
        <w:shd w:val="clear" w:color="auto" w:fill="auto"/>
        <w:spacing w:before="0" w:line="240" w:lineRule="auto"/>
        <w:ind w:firstLine="709"/>
        <w:rPr>
          <w:rFonts w:ascii="Times New Roman" w:hAnsi="Times New Roman" w:cs="Times New Roman"/>
          <w:sz w:val="24"/>
          <w:szCs w:val="24"/>
        </w:rPr>
      </w:pPr>
    </w:p>
    <w:p w:rsidR="004A6ADD" w:rsidRDefault="004A6ADD" w:rsidP="004A6ADD">
      <w:pPr>
        <w:pStyle w:val="21"/>
        <w:shd w:val="clear" w:color="auto" w:fill="auto"/>
        <w:spacing w:before="0" w:line="240" w:lineRule="auto"/>
        <w:ind w:firstLine="709"/>
        <w:rPr>
          <w:rFonts w:ascii="Times New Roman" w:hAnsi="Times New Roman" w:cs="Times New Roman"/>
          <w:sz w:val="24"/>
          <w:szCs w:val="24"/>
        </w:rPr>
      </w:pPr>
    </w:p>
    <w:p w:rsidR="004A6ADD" w:rsidRDefault="004A6ADD" w:rsidP="004A6ADD">
      <w:pPr>
        <w:pStyle w:val="21"/>
        <w:shd w:val="clear" w:color="auto" w:fill="auto"/>
        <w:spacing w:before="0" w:line="240" w:lineRule="auto"/>
        <w:ind w:firstLine="709"/>
        <w:rPr>
          <w:rFonts w:ascii="Times New Roman" w:hAnsi="Times New Roman" w:cs="Times New Roman"/>
          <w:sz w:val="24"/>
          <w:szCs w:val="24"/>
        </w:rPr>
      </w:pPr>
    </w:p>
    <w:p w:rsidR="004A6ADD" w:rsidRDefault="004A6ADD" w:rsidP="004A6ADD">
      <w:pPr>
        <w:pStyle w:val="21"/>
        <w:shd w:val="clear" w:color="auto" w:fill="auto"/>
        <w:spacing w:before="0" w:line="240" w:lineRule="auto"/>
        <w:ind w:firstLine="709"/>
        <w:rPr>
          <w:rFonts w:ascii="Times New Roman" w:hAnsi="Times New Roman" w:cs="Times New Roman"/>
          <w:sz w:val="24"/>
          <w:szCs w:val="24"/>
        </w:rPr>
      </w:pPr>
    </w:p>
    <w:p w:rsidR="004A6ADD" w:rsidRDefault="004A6ADD" w:rsidP="004A6ADD">
      <w:pPr>
        <w:pStyle w:val="21"/>
        <w:shd w:val="clear" w:color="auto" w:fill="auto"/>
        <w:spacing w:before="0" w:line="240" w:lineRule="auto"/>
        <w:ind w:firstLine="709"/>
        <w:rPr>
          <w:rFonts w:ascii="Times New Roman" w:hAnsi="Times New Roman" w:cs="Times New Roman"/>
          <w:sz w:val="24"/>
          <w:szCs w:val="24"/>
        </w:rPr>
      </w:pPr>
    </w:p>
    <w:p w:rsidR="004A6ADD" w:rsidRDefault="004A6ADD" w:rsidP="004A6ADD">
      <w:pPr>
        <w:pStyle w:val="21"/>
        <w:shd w:val="clear" w:color="auto" w:fill="auto"/>
        <w:spacing w:before="0" w:line="240" w:lineRule="auto"/>
        <w:ind w:firstLine="709"/>
        <w:rPr>
          <w:rFonts w:ascii="Times New Roman" w:hAnsi="Times New Roman" w:cs="Times New Roman"/>
          <w:sz w:val="24"/>
          <w:szCs w:val="24"/>
        </w:rPr>
      </w:pPr>
    </w:p>
    <w:p w:rsidR="004A6ADD" w:rsidRPr="002D25AA" w:rsidRDefault="004A6ADD" w:rsidP="004A6ADD">
      <w:pPr>
        <w:pStyle w:val="21"/>
        <w:shd w:val="clear" w:color="auto" w:fill="auto"/>
        <w:spacing w:before="0" w:line="240" w:lineRule="auto"/>
        <w:ind w:firstLine="709"/>
        <w:jc w:val="center"/>
        <w:rPr>
          <w:rFonts w:ascii="Times New Roman" w:hAnsi="Times New Roman" w:cs="Times New Roman"/>
          <w:b/>
          <w:sz w:val="28"/>
          <w:szCs w:val="28"/>
        </w:rPr>
      </w:pPr>
      <w:r w:rsidRPr="002D25AA">
        <w:rPr>
          <w:rFonts w:ascii="Times New Roman" w:hAnsi="Times New Roman" w:cs="Times New Roman"/>
          <w:b/>
          <w:sz w:val="28"/>
          <w:szCs w:val="28"/>
        </w:rPr>
        <w:lastRenderedPageBreak/>
        <w:t>Ответственность за незаконное проникновение в жилище</w:t>
      </w:r>
    </w:p>
    <w:p w:rsidR="004A6ADD" w:rsidRPr="00803611" w:rsidRDefault="004A6ADD" w:rsidP="004A6ADD">
      <w:pPr>
        <w:pStyle w:val="21"/>
        <w:shd w:val="clear" w:color="auto" w:fill="auto"/>
        <w:spacing w:before="0" w:line="240" w:lineRule="auto"/>
        <w:ind w:firstLine="709"/>
        <w:jc w:val="center"/>
        <w:rPr>
          <w:rFonts w:ascii="Times New Roman" w:hAnsi="Times New Roman" w:cs="Times New Roman"/>
          <w:b/>
          <w:sz w:val="24"/>
          <w:szCs w:val="24"/>
        </w:rPr>
      </w:pP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В соответствии со ст.25 Конституции Российской Федерации жилище граждан неприкосновенно. Никто не вправе проникать в жилище против воли проживающих в нем лиц иначе как в случая, установленных федеральным законом, или на основании судебного решения. Это право является неотъемлемой частью более широкого права человека на неприкосновенность частной жизни, а ответственность за нарушение этого права предусматривается в ст.139 УК РФ «Нарушение неприкосновенности жилища». Сущность неприкосновенности жилища заключается в свободе любого незаконного, необоснованного проникновения в обитаемое жилое помещение.</w:t>
      </w:r>
    </w:p>
    <w:p w:rsidR="004A6ADD" w:rsidRPr="002D25AA" w:rsidRDefault="004A6ADD" w:rsidP="004A6ADD">
      <w:pPr>
        <w:pStyle w:val="21"/>
        <w:tabs>
          <w:tab w:val="left" w:pos="905"/>
        </w:tabs>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Нарушение неприкосновенности жилища граждан закон квалифицирует как преступление по ст. 139 УК. Эта статья предусматривает также незаконное проникновение в жилище, совершенное с применением насилия или с угрозой его применения, а также совершение лицом с использованием своего служебного положения.</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Ответственность предусматривается за умышленное незаконное проникновение в жилище, в котором владелец может и не находиться (быть в командировке, на лечении), совершенное против воли проживающего в нем лица. Если же кто-то оказался в чужом жилище по ошибке или недоразумению, ответственность исключается. За нарушение неприкосновенности жилища отвечают как должностные лица, так и частные (например, соседи), достигшие 16 лет.</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Не является преступлением действие, хотя и подпадающее под признаки ст. 139 УК, но совершенное в состоянии крайней необходимости, т.е. для устранения опасности, непосредственно угрожающей личности,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(ч. 1 ст. 39 УК). Например, пожарники могут нарушать неприкосновенность жилого помещения для тушения огня.</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Если лицо вторглось в жилище с применением насилия (над владельцем, его родственниками, знакомыми и др.), оно помимо ответственности за нарушение неприкосновенности жилища подлежит ответственности за соответствующее насилие по статьям УК о преступлениях против личности (телесные повреждения, побои и т.п.). Проникновение в жилище с целью похищения находящегося в нем имущества наказывается как самостоятельное преступление - кража, грабеж или разбой (п. "в" ч. 2 ст. 158, п. "в" ч. 2 ст. 161, п. "в" ч. 2 ст. 162 УК) - и полностью охватывается этими преступлениями. В таких случаях ст. 139 УК не применяется.</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Ответственность за незаконное проникновение в жилище, совершенное против воли проживающего в нем лица, установлена в ч.1 ст. 139 УК РФ. Объектом этого преступления является право человека на неприкосновенность жилища, закрепленное в ст.25 Конституции РФ.</w:t>
      </w:r>
    </w:p>
    <w:p w:rsidR="004A6ADD"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Таким образом, основным признаком, характеризующим жилище, в российском уголовном праве является предназначенность помещения или строения для проживания. </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lastRenderedPageBreak/>
        <w:t>В самом общем смысле «проникнуть в жилище» означает попасть внутрь этого жилища. Слова «проникновение» и «вторжение» в судебной практике с полным основанием используются как синонимы. Проникновение, указывается в постановлении Пленума Верховного Суда СССР 1984 года, это «тайное или открытое вторжение в помещение, иное хранилище или жилище». Проникновением является, прежде всего, вхождение в жилище через дверь, но также и иными способами, например через окно или балкон. Установку в жилище специальных технических средств для негласного наблюдения за проживающими следует рассматривать как проникновение в жилище в тех случаях, когда виновные непосредственно вторгались в жилое помещение. Если же подслушивающее или подглядывающее устройство было размещено без фактического вхождения в жилое помещение, например через «вытяжку» из квартиры, расположенной выше или ниже, состав незаконного проникновения в жилище отсутствует, а действия виновных, исходя из направленности умысла, могут быть квалифицированы при наличии необходимых для этого условий по ст.137 УК РФ. Если же преступник незаконно проник в чужое жилище с целью сбора сведений о частной жизни живущего в нем, его действия необходимо квалифицировать по совокупности нарушения неприкосновенности жилища и покушения на нарушение неприкосновенности частной жизни.</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Согласно ст. 25 Конституции РФ проникновение в чужое жилище против воли проживающих в нем лиц всегда является незаконным, за исключением тех случаев, когда возможность проникновения установлена федеральными законами. Из данной конституционной нормы вытекают два весьма важных обстоятельства для правоприменительной практики: право на вторжение в жилище не может устанавливаться иными нормативно-правовыми актами, кроме закона, в частности постановлениями Правительства и отдельных ведомств, а также законами субъектов Российской Федерации[3]. </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Если лицо вошло в помещение на законном основании, а затем отказывается его покинуть, основания для его привлечения к ответственности по ст. 139 УК РФ отсутствуют. Однако если лицо вошло в жилое помещение, например для поливки цветов, по просьбе хозяина в момент его командировки, и с помощью установленных камер наблюдения стало известно, что лицо стало проживать в нем, без разрешения на то собственника, т. е. против воли проживающего лица, данные действия можно квалифицировать как нарушение неприкосновенности жилища. </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Уголовно наказуемым признается проникновение, совершенное любым из возможных способов - путем принуждения и насильственных действий, угрозы, хитрости, ловкости, обмана, использования своего служебного положения или специальных инструментов.</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В диспозиции данной нормы содержится указание о том, что наказуемые действия должны совершаться против воли лица, которое в помещении проживает. На практике установление этого признака вызывало определенные вопросы. На самом деле, следовало ли правоприменителю усматривать состав преступления в случаях, когда в момент проникновения в помещение люди в нем отсутствовали? Или - присутствовали, но не «проживающие» в помещении, например гости или так называемые домашние работники (личный секретарь, няня и т.п.)? Или, </w:t>
      </w:r>
      <w:r w:rsidRPr="002D25AA">
        <w:rPr>
          <w:rFonts w:ascii="Times New Roman" w:hAnsi="Times New Roman" w:cs="Times New Roman"/>
          <w:sz w:val="28"/>
          <w:szCs w:val="28"/>
        </w:rPr>
        <w:lastRenderedPageBreak/>
        <w:t>наконец, в случаях, когда виновный действовал «против воли» некоторых лиц от числа всех проживающих в помещении?</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Дело в том, что правило, сформулированное в Конституции, разумно основано на формуле «или - или»: проникновение в жилище допускается по велению закона или с согласия проживающего лица; Конституция запрещает проникать в жилище против воли проживающих в нем лиц «иначе как в случаях, установленных федеральными законами...». Вопреки Конституции уголовный закон без необходимости обязывал правоприменителя устанавливать оба признака[4]. </w:t>
      </w:r>
    </w:p>
    <w:p w:rsidR="004A6ADD" w:rsidRPr="002D25AA"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В настоящее время в связи с введением в действие УПК РФ дела о преступлениях, предусмотренных ч. 1 ст. 139 УК РФ, возбуждаются не иначе как по заявлению потерпевшего. Обязанность уголовного преследования в публичном порядке сохранена лишь для тех случаев, когда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 (ст. 20 УПК РФ). Таким образом, то обстоятельство, что виновный действовал против воли проживающего лица, отныне по большинству дел должно усматриваться из самого факта обращения с заявлением о привлечении к уголовной ответственности.</w:t>
      </w:r>
    </w:p>
    <w:p w:rsidR="004A6ADD" w:rsidRDefault="004A6ADD" w:rsidP="004A6ADD">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Субъектом незаконного проникновения в жилище является любое вменяемое лицо, достигшее ко времени совершения преступления 16-летнего возраста, а вина предполагается в форме прямого умысла. Цель проникновения на квалификацию анализируемого преступления не влияет. Однако если цель свидетельствует о приготовлении к совершению какого-либо преступления (например, убийства, захвата заложника), то содеянное следует квалифицировать по правилам совокупности преступлений.</w:t>
      </w:r>
    </w:p>
    <w:p w:rsidR="004A6ADD" w:rsidRDefault="004A6ADD" w:rsidP="004A6ADD">
      <w:pPr>
        <w:pStyle w:val="21"/>
        <w:spacing w:before="0" w:line="240" w:lineRule="auto"/>
        <w:ind w:firstLine="709"/>
        <w:rPr>
          <w:rFonts w:ascii="Times New Roman" w:hAnsi="Times New Roman" w:cs="Times New Roman"/>
          <w:sz w:val="28"/>
          <w:szCs w:val="28"/>
        </w:rPr>
      </w:pPr>
    </w:p>
    <w:p w:rsidR="004A6ADD" w:rsidRDefault="004A6ADD" w:rsidP="004A6ADD">
      <w:pPr>
        <w:pStyle w:val="21"/>
        <w:spacing w:before="0" w:line="240" w:lineRule="auto"/>
        <w:rPr>
          <w:rFonts w:ascii="Times New Roman" w:hAnsi="Times New Roman" w:cs="Times New Roman"/>
          <w:sz w:val="28"/>
          <w:szCs w:val="28"/>
        </w:rPr>
      </w:pPr>
      <w:r>
        <w:rPr>
          <w:rFonts w:ascii="Times New Roman" w:hAnsi="Times New Roman" w:cs="Times New Roman"/>
          <w:sz w:val="28"/>
          <w:szCs w:val="28"/>
        </w:rPr>
        <w:t>Разъяснение подготовил:</w:t>
      </w:r>
    </w:p>
    <w:p w:rsidR="004A6ADD" w:rsidRDefault="004A6ADD" w:rsidP="004A6ADD">
      <w:pPr>
        <w:pStyle w:val="21"/>
        <w:spacing w:before="0" w:line="240" w:lineRule="auto"/>
        <w:rPr>
          <w:rFonts w:ascii="Times New Roman" w:hAnsi="Times New Roman" w:cs="Times New Roman"/>
          <w:sz w:val="28"/>
          <w:szCs w:val="28"/>
        </w:rPr>
      </w:pPr>
    </w:p>
    <w:p w:rsidR="004A6ADD" w:rsidRDefault="004A6ADD" w:rsidP="004A6ADD">
      <w:pPr>
        <w:pStyle w:val="21"/>
        <w:spacing w:before="0" w:line="240" w:lineRule="auto"/>
        <w:rPr>
          <w:rFonts w:ascii="Times New Roman" w:hAnsi="Times New Roman" w:cs="Times New Roman"/>
          <w:sz w:val="28"/>
          <w:szCs w:val="28"/>
        </w:rPr>
      </w:pPr>
    </w:p>
    <w:p w:rsidR="004A6ADD" w:rsidRDefault="004A6ADD" w:rsidP="004A6ADD">
      <w:pPr>
        <w:pStyle w:val="21"/>
        <w:spacing w:before="0" w:line="240" w:lineRule="auto"/>
        <w:rPr>
          <w:rFonts w:ascii="Times New Roman" w:hAnsi="Times New Roman" w:cs="Times New Roman"/>
          <w:sz w:val="28"/>
          <w:szCs w:val="28"/>
        </w:rPr>
      </w:pPr>
      <w:r>
        <w:rPr>
          <w:rFonts w:ascii="Times New Roman" w:hAnsi="Times New Roman" w:cs="Times New Roman"/>
          <w:sz w:val="28"/>
          <w:szCs w:val="28"/>
        </w:rPr>
        <w:t xml:space="preserve">Помошник Лискинского </w:t>
      </w:r>
    </w:p>
    <w:p w:rsidR="004A6ADD" w:rsidRPr="002D25AA" w:rsidRDefault="004A6ADD" w:rsidP="004A6ADD">
      <w:pPr>
        <w:pStyle w:val="21"/>
        <w:spacing w:before="0" w:line="240" w:lineRule="auto"/>
        <w:rPr>
          <w:rFonts w:ascii="Times New Roman" w:hAnsi="Times New Roman" w:cs="Times New Roman"/>
          <w:sz w:val="28"/>
          <w:szCs w:val="28"/>
        </w:rPr>
      </w:pPr>
      <w:r>
        <w:rPr>
          <w:rFonts w:ascii="Times New Roman" w:hAnsi="Times New Roman" w:cs="Times New Roman"/>
          <w:sz w:val="28"/>
          <w:szCs w:val="28"/>
        </w:rPr>
        <w:t xml:space="preserve">межрайонного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Рудаков</w:t>
      </w:r>
    </w:p>
    <w:p w:rsidR="00143808" w:rsidRDefault="00143808">
      <w:bookmarkStart w:id="0" w:name="_GoBack"/>
      <w:bookmarkEnd w:id="0"/>
    </w:p>
    <w:sectPr w:rsidR="00143808" w:rsidSect="004A6ADD">
      <w:headerReference w:type="default" r:id="rId4"/>
      <w:pgSz w:w="11909" w:h="16838"/>
      <w:pgMar w:top="1134" w:right="567" w:bottom="1134" w:left="1418"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53" w:rsidRDefault="004A6ADD">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3760470</wp:posOffset>
              </wp:positionH>
              <wp:positionV relativeFrom="page">
                <wp:posOffset>610870</wp:posOffset>
              </wp:positionV>
              <wp:extent cx="54610" cy="91440"/>
              <wp:effectExtent l="0" t="1270" r="4445"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53" w:rsidRDefault="004A6ADD">
                          <w:pPr>
                            <w:pStyle w:val="1"/>
                            <w:shd w:val="clear" w:color="auto" w:fill="auto"/>
                            <w:spacing w:line="240" w:lineRule="auto"/>
                          </w:pPr>
                          <w:r>
                            <w:fldChar w:fldCharType="begin"/>
                          </w:r>
                          <w:r>
                            <w:instrText xml:space="preserve"> PAGE \* MERGEFORMAT </w:instrText>
                          </w:r>
                          <w:r>
                            <w:fldChar w:fldCharType="separate"/>
                          </w:r>
                          <w:r w:rsidRPr="004A6ADD">
                            <w:rPr>
                              <w:rStyle w:val="a5"/>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6.1pt;margin-top:48.1pt;width:4.3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" filled="f" stroked="f">
              <v:textbox style="mso-fit-shape-to-text:t" inset="0,0,0,0">
                <w:txbxContent>
                  <w:p w:rsidR="00504C53" w:rsidRDefault="004A6ADD">
                    <w:pPr>
                      <w:pStyle w:val="1"/>
                      <w:shd w:val="clear" w:color="auto" w:fill="auto"/>
                      <w:spacing w:line="240" w:lineRule="auto"/>
                    </w:pPr>
                    <w:r>
                      <w:fldChar w:fldCharType="begin"/>
                    </w:r>
                    <w:r>
                      <w:instrText xml:space="preserve"> PAGE \* MERGEFORMAT </w:instrText>
                    </w:r>
                    <w:r>
                      <w:fldChar w:fldCharType="separate"/>
                    </w:r>
                    <w:r w:rsidRPr="004A6ADD">
                      <w:rPr>
                        <w:rStyle w:val="a5"/>
                        <w:noProof/>
                      </w:rPr>
                      <w:t>5</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AE"/>
    <w:rsid w:val="00143808"/>
    <w:rsid w:val="004A6ADD"/>
    <w:rsid w:val="00C0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D691F9-D218-4A2E-A35E-F36DB6AF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ADD"/>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4A6ADD"/>
    <w:rPr>
      <w:rFonts w:ascii="Calibri" w:hAnsi="Calibri" w:cs="Calibri"/>
      <w:shd w:val="clear" w:color="auto" w:fill="FFFFFF"/>
    </w:rPr>
  </w:style>
  <w:style w:type="character" w:customStyle="1" w:styleId="a3">
    <w:name w:val="Основной текст_"/>
    <w:basedOn w:val="a0"/>
    <w:link w:val="21"/>
    <w:uiPriority w:val="99"/>
    <w:locked/>
    <w:rsid w:val="004A6ADD"/>
    <w:rPr>
      <w:rFonts w:ascii="Calibri" w:hAnsi="Calibri" w:cs="Calibri"/>
      <w:sz w:val="21"/>
      <w:szCs w:val="21"/>
      <w:shd w:val="clear" w:color="auto" w:fill="FFFFFF"/>
    </w:rPr>
  </w:style>
  <w:style w:type="character" w:customStyle="1" w:styleId="a4">
    <w:name w:val="Колонтитул_"/>
    <w:basedOn w:val="a0"/>
    <w:link w:val="1"/>
    <w:uiPriority w:val="99"/>
    <w:locked/>
    <w:rsid w:val="004A6ADD"/>
    <w:rPr>
      <w:rFonts w:ascii="Calibri" w:hAnsi="Calibri" w:cs="Calibri"/>
      <w:sz w:val="20"/>
      <w:szCs w:val="20"/>
      <w:shd w:val="clear" w:color="auto" w:fill="FFFFFF"/>
    </w:rPr>
  </w:style>
  <w:style w:type="character" w:customStyle="1" w:styleId="a5">
    <w:name w:val="Колонтитул"/>
    <w:basedOn w:val="a4"/>
    <w:uiPriority w:val="99"/>
    <w:rsid w:val="004A6ADD"/>
    <w:rPr>
      <w:rFonts w:ascii="Calibri" w:hAnsi="Calibri" w:cs="Calibri"/>
      <w:color w:val="000000"/>
      <w:spacing w:val="0"/>
      <w:w w:val="100"/>
      <w:position w:val="0"/>
      <w:sz w:val="20"/>
      <w:szCs w:val="20"/>
      <w:shd w:val="clear" w:color="auto" w:fill="FFFFFF"/>
    </w:rPr>
  </w:style>
  <w:style w:type="paragraph" w:customStyle="1" w:styleId="20">
    <w:name w:val="Основной текст (2)"/>
    <w:basedOn w:val="a"/>
    <w:link w:val="2"/>
    <w:uiPriority w:val="99"/>
    <w:rsid w:val="004A6ADD"/>
    <w:pPr>
      <w:shd w:val="clear" w:color="auto" w:fill="FFFFFF"/>
      <w:spacing w:after="60" w:line="240" w:lineRule="atLeast"/>
      <w:ind w:firstLine="540"/>
      <w:jc w:val="both"/>
    </w:pPr>
    <w:rPr>
      <w:rFonts w:ascii="Calibri" w:eastAsiaTheme="minorHAnsi" w:hAnsi="Calibri" w:cs="Calibri"/>
      <w:color w:val="auto"/>
      <w:sz w:val="22"/>
      <w:szCs w:val="22"/>
      <w:lang w:eastAsia="en-US"/>
    </w:rPr>
  </w:style>
  <w:style w:type="paragraph" w:customStyle="1" w:styleId="21">
    <w:name w:val="Основной текст2"/>
    <w:basedOn w:val="a"/>
    <w:link w:val="a3"/>
    <w:uiPriority w:val="99"/>
    <w:rsid w:val="004A6ADD"/>
    <w:pPr>
      <w:shd w:val="clear" w:color="auto" w:fill="FFFFFF"/>
      <w:spacing w:before="300" w:line="264" w:lineRule="exact"/>
      <w:jc w:val="both"/>
    </w:pPr>
    <w:rPr>
      <w:rFonts w:ascii="Calibri" w:eastAsiaTheme="minorHAnsi" w:hAnsi="Calibri" w:cs="Calibri"/>
      <w:color w:val="auto"/>
      <w:sz w:val="21"/>
      <w:szCs w:val="21"/>
      <w:lang w:eastAsia="en-US"/>
    </w:rPr>
  </w:style>
  <w:style w:type="paragraph" w:customStyle="1" w:styleId="1">
    <w:name w:val="Колонтитул1"/>
    <w:basedOn w:val="a"/>
    <w:link w:val="a4"/>
    <w:uiPriority w:val="99"/>
    <w:rsid w:val="004A6ADD"/>
    <w:pPr>
      <w:shd w:val="clear" w:color="auto" w:fill="FFFFFF"/>
      <w:spacing w:line="240" w:lineRule="atLeast"/>
    </w:pPr>
    <w:rPr>
      <w:rFonts w:ascii="Calibri" w:eastAsiaTheme="minorHAnsi" w:hAnsi="Calibri" w:cs="Calibri"/>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2024-01-31T06:01:00Z</dcterms:created>
  <dcterms:modified xsi:type="dcterms:W3CDTF">2024-01-31T06:01:00Z</dcterms:modified>
</cp:coreProperties>
</file>